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0" w:before="0"/>
      </w:pPr>
      <w:r>
        <w:rPr>
          <w:b w:val="false"/>
          <w:bCs w:val="false"/>
        </w:rPr>
        <w:t xml:space="preserve"/>
      </w:r>
    </w:p>
    <w:p>
      <w:pPr>
        <w:spacing w:after="200" w:before="0"/>
        <w:jc w:val="center"/>
      </w:pPr>
      <w:r>
        <w:rPr>
          <w:b/>
          <w:bCs/>
          <w:sz w:val="44"/>
          <w:szCs w:val="44"/>
        </w:rPr>
        <w:t xml:space="preserve">城东片区智慧园区能耗监测平台建设项目</w:t>
      </w:r>
    </w:p>
    <w:p>
      <w:pPr>
        <w:spacing w:after="1000" w:before="0"/>
        <w:jc w:val="center"/>
      </w:pPr>
      <w:r>
        <w:rPr>
          <w:b/>
          <w:bCs/>
          <w:sz w:val="44"/>
          <w:szCs w:val="44"/>
        </w:rPr>
        <w:t xml:space="preserve">结题报告</w:t>
      </w:r>
    </w:p>
    <w:p>
      <w:pPr>
        <w:spacing w:after="200" w:before="0"/>
        <w:jc w:val="center"/>
      </w:pPr>
      <w:r>
        <w:rPr>
          <w:b w:val="false"/>
          <w:bCs w:val="false"/>
          <w:sz w:val="28"/>
          <w:szCs w:val="28"/>
        </w:rPr>
        <w:t xml:space="preserve">批准文号　东发改（2023）118号</w:t>
      </w:r>
    </w:p>
    <w:p>
      <w:pPr>
        <w:spacing w:after="200" w:before="0"/>
        <w:jc w:val="center"/>
      </w:pPr>
      <w:r>
        <w:rPr>
          <w:b w:val="false"/>
          <w:bCs w:val="false"/>
          <w:sz w:val="28"/>
          <w:szCs w:val="28"/>
        </w:rPr>
        <w:t xml:space="preserve">项目承担单位　城东产业发展集团有限公司</w:t>
      </w:r>
    </w:p>
    <w:p>
      <w:pPr>
        <w:spacing w:after="120" w:before="0"/>
        <w:jc w:val="center"/>
      </w:pPr>
      <w:r>
        <w:rPr>
          <w:b w:val="false"/>
          <w:bCs w:val="false"/>
          <w:sz w:val="28"/>
          <w:szCs w:val="28"/>
        </w:rPr>
        <w:t xml:space="preserve">二〇二六年七月</w:t>
      </w:r>
    </w:p>
    <w:p>
      <w:pPr>
        <w:pageBreakBefore/>
        <w:spacing w:after="300" w:before="0"/>
        <w:jc w:val="center"/>
      </w:pPr>
      <w:r>
        <w:rPr>
          <w:b/>
          <w:bCs/>
          <w:sz w:val="36"/>
          <w:szCs w:val="36"/>
        </w:rPr>
        <w:t xml:space="preserve">目　录</w:t>
      </w:r>
    </w:p>
    <w:p>
      <w:pPr>
        <w:spacing w:after="120" w:before="0"/>
      </w:pPr>
      <w:r>
        <w:rPr>
          <w:b w:val="false"/>
          <w:bCs w:val="false"/>
        </w:rPr>
        <w:t xml:space="preserve">（请将光标停在本段下方，通过引用选项卡插入自动目录，插入后的初始状态即为案例一的现场。）</w:t>
      </w:r>
    </w:p>
    <w:p>
      <w:pPr>
        <w:pageBreakBefore/>
        <w:spacing w:after="200" w:before="240"/>
      </w:pPr>
      <w:r>
        <w:rPr>
          <w:b/>
          <w:bCs/>
          <w:sz w:val="32"/>
          <w:szCs w:val="32"/>
        </w:rPr>
        <w:t xml:space="preserve">一、项目概述</w:t>
      </w:r>
    </w:p>
    <w:p>
      <w:pPr>
        <w:spacing w:after="120" w:before="160"/>
      </w:pPr>
      <w:r>
        <w:rPr>
          <w:b/>
          <w:bCs/>
          <w:sz w:val="28"/>
          <w:szCs w:val="28"/>
        </w:rPr>
        <w:t xml:space="preserve">（一）立项依据</w:t>
      </w:r>
    </w:p>
    <w:p>
      <w:pPr>
        <w:spacing w:after="120" w:before="0"/>
      </w:pPr>
      <w:r>
        <w:rPr>
          <w:b w:val="false"/>
          <w:bCs w:val="false"/>
        </w:rPr>
        <w:t xml:space="preserve">本项目依据市发展改革委东发改（2023）118号文批复立项，建设内容为覆盖城东片区十二栋公共建筑的能耗监测平台。平台设计遵循《公共建筑能耗监测系统技术导则（2023）》，园区层面的功能框架参照《城市智慧园区建设指南（2024）》确定。</w:t>
      </w:r>
    </w:p>
    <w:p>
      <w:pPr>
        <w:spacing w:after="120" w:before="160"/>
      </w:pPr>
      <w:r>
        <w:rPr>
          <w:b/>
          <w:bCs/>
          <w:sz w:val="28"/>
          <w:szCs w:val="28"/>
        </w:rPr>
        <w:t xml:space="preserve">（二）建设目标</w:t>
      </w:r>
    </w:p>
    <w:p>
      <w:pPr>
        <w:spacing w:after="120" w:before="0"/>
      </w:pPr>
      <w:r>
        <w:rPr>
          <w:b w:val="false"/>
          <w:bCs w:val="false"/>
        </w:rPr>
        <w:t xml:space="preserve">项目建设目标为实现园区电、水、气三类能源分项计量全覆盖，分项计量口径沿用市统计局能源统计公报（2023）的分类标准，为园区管委会的节能考核提供逐月数据支撑。</w:t>
      </w:r>
    </w:p>
    <w:p>
      <w:pPr>
        <w:pageBreakBefore/>
        <w:spacing w:after="200" w:before="240"/>
      </w:pPr>
      <w:r>
        <w:rPr>
          <w:b/>
          <w:bCs/>
          <w:sz w:val="32"/>
          <w:szCs w:val="32"/>
        </w:rPr>
        <w:t xml:space="preserve">二、建设内容与技术路线</w:t>
      </w:r>
    </w:p>
    <w:p>
      <w:pPr>
        <w:spacing w:after="120" w:before="0"/>
      </w:pPr>
      <w:r>
        <w:rPr>
          <w:b w:val="false"/>
          <w:bCs w:val="false"/>
        </w:rPr>
        <w:t xml:space="preserve">平台由感知层、传输层与应用层三部分组成。感知层部署多功能电力仪表六百四十只、超声波水表二百一十只，计量器具的配备数量按《能源计量器具配备与管理规范（2023）》核定。应用层的绿色建筑评价模块以《绿色建筑评价标准（2024）》为评分依据，峰谷分时电价参数取自市发改委峰谷电价表（2024）。</w:t>
      </w:r>
    </w:p>
    <w:p>
      <w:pPr>
        <w:spacing w:after="120" w:before="0"/>
      </w:pPr>
      <w:r>
        <w:rPr>
          <w:b w:val="false"/>
          <w:bCs w:val="false"/>
        </w:rPr>
        <w:t xml:space="preserve">传输层采用有线以太网与无线自组网混合组网，与市级能耗监管平台的数据对接执行市级平台数据传输规范（2024）规定的报文格式，上传频率为十五分钟一次。</w:t>
      </w:r>
    </w:p>
    <w:p>
      <w:pPr>
        <w:pageBreakBefore/>
        <w:spacing w:after="200" w:before="240"/>
      </w:pPr>
      <w:r>
        <w:rPr>
          <w:b/>
          <w:bCs/>
          <w:sz w:val="32"/>
          <w:szCs w:val="32"/>
        </w:rPr>
        <w:t xml:space="preserve">三、平台功能与运行情况</w:t>
      </w:r>
    </w:p>
    <w:p>
      <w:pPr>
        <w:spacing w:after="120" w:before="0"/>
      </w:pPr>
      <w:r>
        <w:rPr>
          <w:b w:val="false"/>
          <w:bCs w:val="false"/>
        </w:rPr>
        <w:t xml:space="preserve">平台于二〇二五年十二月通过初步验收，二〇二六年三月起进入连续稳定运行阶段。能耗公示、逐时曲线、同比环比分析、超限告警四类核心功能均已投入使用，告警阈值的初始值参照片区能耗普查（2023）数据设定。</w:t>
      </w:r>
    </w:p>
    <w:p>
      <w:pPr>
        <w:spacing w:after="120" w:before="0"/>
      </w:pPr>
      <w:r>
        <w:rPr>
          <w:b w:val="false"/>
          <w:bCs w:val="false"/>
        </w:rPr>
        <w:t xml:space="preserve">运行期间平台可用率为百分之九十九点二，数据完整率为百分之九十八点六，两项指标的统计方法执行平台运行评价细则（2024）。</w:t>
      </w:r>
    </w:p>
    <w:p>
      <w:pPr>
        <w:pageBreakBefore/>
        <w:spacing w:after="200" w:before="240"/>
      </w:pPr>
      <w:r>
        <w:rPr>
          <w:b/>
          <w:bCs/>
          <w:sz w:val="32"/>
          <w:szCs w:val="32"/>
        </w:rPr>
        <w:t xml:space="preserve">四、分项能耗数据分析</w:t>
      </w:r>
    </w:p>
    <w:p>
      <w:pPr>
        <w:spacing w:after="120" w:before="0"/>
      </w:pPr>
      <w:r>
        <w:rPr>
          <w:b w:val="false"/>
          <w:bCs w:val="false"/>
        </w:rPr>
        <w:t xml:space="preserve">下表为园区二〇二五年度分项能耗逐月汇总，气象修正参数引自市气候公报（2024）。本表共十三列，纵向页面无法完整阅读，需要将本页单独调整为横向。</w:t>
      </w:r>
    </w:p>
    <w:tbl>
      <w:tblPr>
        <w:tblW w:type="dxa" w:w="89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dxa" w:w="1300"/>
          </w:tcPr>
          <w:p>
            <w:r>
              <w:rPr>
                <w:sz w:val="20"/>
                <w:szCs w:val="20"/>
              </w:rPr>
              <w:t xml:space="preserve">分项（万千瓦时）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4月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5月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6月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7月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8月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9月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10月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11月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12月</w:t>
            </w:r>
          </w:p>
        </w:tc>
      </w:tr>
      <w:tr>
        <w:tc>
          <w:tcPr>
            <w:tcW w:type="dxa" w:w="1300"/>
          </w:tcPr>
          <w:p>
            <w:r>
              <w:rPr>
                <w:sz w:val="20"/>
                <w:szCs w:val="20"/>
              </w:rPr>
              <w:t xml:space="preserve">照明与插座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38.21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35.64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36.92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37.45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39.13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41.86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44.62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45.27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42.38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39.51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38.84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40.19</w:t>
            </w:r>
          </w:p>
        </w:tc>
      </w:tr>
      <w:tr>
        <w:tc>
          <w:tcPr>
            <w:tcW w:type="dxa" w:w="1300"/>
          </w:tcPr>
          <w:p>
            <w:r>
              <w:rPr>
                <w:sz w:val="20"/>
                <w:szCs w:val="20"/>
              </w:rPr>
              <w:t xml:space="preserve">空调系统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21.43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19.82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18.26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22.61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35.74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58.32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72.95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74.18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55.46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30.27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22.53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24.81</w:t>
            </w:r>
          </w:p>
        </w:tc>
      </w:tr>
      <w:tr>
        <w:tc>
          <w:tcPr>
            <w:tcW w:type="dxa" w:w="1300"/>
          </w:tcPr>
          <w:p>
            <w:r>
              <w:rPr>
                <w:sz w:val="20"/>
                <w:szCs w:val="20"/>
              </w:rPr>
              <w:t xml:space="preserve">动力设备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26.54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23.17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27.83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28.26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28.95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29.42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30.18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29.86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28.64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28.37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27.45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28.02</w:t>
            </w:r>
          </w:p>
        </w:tc>
      </w:tr>
      <w:tr>
        <w:tc>
          <w:tcPr>
            <w:tcW w:type="dxa" w:w="1300"/>
          </w:tcPr>
          <w:p>
            <w:r>
              <w:rPr>
                <w:sz w:val="20"/>
                <w:szCs w:val="20"/>
              </w:rPr>
              <w:t xml:space="preserve">特殊用电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8.32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7.65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8.14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8.53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8.87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9.61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10.42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10.75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9.58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8.94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8.41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8.63</w:t>
            </w:r>
          </w:p>
        </w:tc>
      </w:tr>
      <w:tr>
        <w:tc>
          <w:tcPr>
            <w:tcW w:type="dxa" w:w="1300"/>
          </w:tcPr>
          <w:p>
            <w:r>
              <w:rPr>
                <w:sz w:val="20"/>
                <w:szCs w:val="20"/>
              </w:rPr>
              <w:t xml:space="preserve">合计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94.50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86.28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91.15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96.85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112.69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139.21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158.17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160.06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136.06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107.09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97.23</w:t>
            </w:r>
          </w:p>
        </w:tc>
        <w:tc>
          <w:tcPr>
            <w:tcW w:type="dxa" w:w="640"/>
          </w:tcPr>
          <w:p>
            <w:r>
              <w:rPr>
                <w:sz w:val="20"/>
                <w:szCs w:val="20"/>
              </w:rPr>
              <w:t xml:space="preserve">101.65</w:t>
            </w:r>
          </w:p>
        </w:tc>
      </w:tr>
    </w:tbl>
    <w:p>
      <w:pPr>
        <w:spacing w:after="120" w:before="0"/>
      </w:pPr>
      <w:r>
        <w:rPr>
          <w:b w:val="false"/>
          <w:bCs w:val="false"/>
        </w:rPr>
        <w:t xml:space="preserve"/>
      </w:r>
    </w:p>
    <w:p>
      <w:pPr>
        <w:spacing w:after="120" w:before="0"/>
      </w:pPr>
      <w:r>
        <w:rPr>
          <w:b w:val="false"/>
          <w:bCs w:val="false"/>
        </w:rPr>
        <w:t xml:space="preserve">从分项构成看，空调系统能耗的季节波动最大，七、八两月合计占全年空调能耗的百分之三十一，与本地区公共建筑能耗普查（2023）给出的典型比例基本一致。</w:t>
      </w:r>
    </w:p>
    <w:p>
      <w:pPr>
        <w:pageBreakBefore/>
        <w:spacing w:after="200" w:before="240"/>
      </w:pPr>
      <w:r>
        <w:rPr>
          <w:b/>
          <w:bCs/>
          <w:sz w:val="32"/>
          <w:szCs w:val="32"/>
        </w:rPr>
        <w:t xml:space="preserve">五、资金使用情况</w:t>
      </w:r>
    </w:p>
    <w:p>
      <w:pPr>
        <w:spacing w:after="120" w:before="0"/>
      </w:pPr>
      <w:r>
        <w:rPr>
          <w:b w:val="false"/>
          <w:bCs w:val="false"/>
        </w:rPr>
        <w:t xml:space="preserve">项目总投资一千二百六十万元，资金来源为市财政专项补助与企业自筹，专项补助依据东财建（2024）56号文下达。概算编制执行信息化工程取费标准（2023），决算审计由第三方会计师事务所完成。</w:t>
      </w:r>
    </w:p>
    <w:p>
      <w:pPr>
        <w:pageBreakBefore/>
        <w:spacing w:after="200" w:before="240"/>
      </w:pPr>
      <w:r>
        <w:rPr>
          <w:b/>
          <w:bCs/>
          <w:sz w:val="32"/>
          <w:szCs w:val="32"/>
        </w:rPr>
        <w:t xml:space="preserve">六、结论与展望</w:t>
      </w:r>
    </w:p>
    <w:p>
      <w:pPr>
        <w:spacing w:after="120" w:before="0"/>
      </w:pPr>
      <w:r>
        <w:rPr>
          <w:b w:val="false"/>
          <w:bCs w:val="false"/>
        </w:rPr>
        <w:t xml:space="preserve">平台各项建设内容已按批复完成，试运行期间园区单位建筑面积能耗较接入前下降百分之八点六。下一阶段将开展动态告警阈值研究，后续运维费用按信息系统运维定额（2024）测算列支。</w:t>
      </w:r>
    </w:p>
    <w:p>
      <w:pPr>
        <w:pageBreakBefore/>
        <w:spacing w:after="200" w:before="240"/>
      </w:pPr>
      <w:r>
        <w:rPr>
          <w:b/>
          <w:bCs/>
          <w:sz w:val="32"/>
          <w:szCs w:val="32"/>
        </w:rPr>
        <w:t xml:space="preserve">参考文献</w:t>
      </w:r>
    </w:p>
    <w:p>
      <w:pPr>
        <w:spacing w:after="120" w:before="0"/>
      </w:pPr>
      <w:r>
        <w:rPr>
          <w:b w:val="false"/>
          <w:bCs w:val="false"/>
        </w:rPr>
        <w:t xml:space="preserve">［1］住房和城乡建设部．公共建筑能耗监测系统技术导则（2023）．</w:t>
      </w:r>
    </w:p>
    <w:p>
      <w:pPr>
        <w:spacing w:after="120" w:before="0"/>
      </w:pPr>
      <w:r>
        <w:rPr>
          <w:b w:val="false"/>
          <w:bCs w:val="false"/>
        </w:rPr>
        <w:t xml:space="preserve">［2］市发展改革委．城市智慧园区建设指南（2024）．</w:t>
      </w:r>
    </w:p>
    <w:p>
      <w:pPr>
        <w:spacing w:after="120" w:before="0"/>
      </w:pPr>
      <w:r>
        <w:rPr>
          <w:b w:val="false"/>
          <w:bCs w:val="false"/>
        </w:rPr>
        <w:t xml:space="preserve">［3］市市场监督管理局．能源计量器具配备与管理规范（2023）．</w:t>
      </w:r>
    </w:p>
    <w:p>
      <w:pPr>
        <w:spacing w:after="120" w:before="0"/>
      </w:pPr>
      <w:r>
        <w:rPr>
          <w:b w:val="false"/>
          <w:bCs w:val="false"/>
        </w:rPr>
        <w:t xml:space="preserve">［4］住房和城乡建设部．绿色建筑评价标准（2024）．</w:t>
      </w:r>
    </w:p>
    <w:p>
      <w:pPr>
        <w:spacing w:after="120" w:before="0"/>
      </w:pPr>
      <w:r>
        <w:rPr>
          <w:b w:val="false"/>
          <w:bCs w:val="false"/>
        </w:rPr>
        <w:t xml:space="preserve">［5］市统计局．能源统计公报（2023）．</w:t>
      </w:r>
    </w:p>
    <w:p>
      <w:pPr>
        <w:spacing w:after="120" w:before="0"/>
      </w:pPr>
      <w:r>
        <w:rPr>
          <w:b w:val="false"/>
          <w:bCs w:val="false"/>
        </w:rPr>
        <w:t xml:space="preserve">［6］市住房和城乡建设局．平台运行评价细则（2024）．</w:t>
      </w:r>
    </w:p>
    <w:p>
      <w:pPr>
        <w:spacing w:after="120" w:before="0"/>
      </w:pPr>
      <w:r>
        <w:rPr>
          <w:b w:val="false"/>
          <w:bCs w:val="false"/>
        </w:rPr>
        <w:t xml:space="preserve">［7］市节能监察中心．公共建筑能耗普查报告（2023）．</w:t>
      </w:r>
    </w:p>
    <w:p>
      <w:pPr>
        <w:spacing w:after="120" w:before="0"/>
      </w:pPr>
      <w:r>
        <w:rPr>
          <w:b w:val="false"/>
          <w:bCs w:val="false"/>
        </w:rPr>
        <w:t xml:space="preserve">［8］市财政局．信息系统运维定额（2024）．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2026-08-03T09:38:27.198Z</dcterms:created>
  <dcterms:modified xsi:type="dcterms:W3CDTF">2026-08-03T09:38:27.200Z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