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第十章对象排查练习文件</w:t>
      </w:r>
    </w:p>
    <w:p>
      <w:pPr>
        <w:spacing w:after="120"/>
      </w:pPr>
      <w:r>
        <w:rPr>
          <w:b w:val="false"/>
          <w:bCs w:val="false"/>
        </w:rPr>
        <w:t xml:space="preserve">本文件共五个部分，分别对应案例的初始现场，打开即为出问题的状态，请勿先行修改页面设置。</w:t>
      </w:r>
    </w:p>
    <w:p>
      <w:pPr>
        <w:pStyle w:val="Heading2"/>
        <w:spacing w:after="160" w:before="360"/>
      </w:pPr>
      <w:r>
        <w:t xml:space="preserve">第一部分 采购申请事项清单（编号已断开）</w:t>
      </w:r>
    </w:p>
    <w:p>
      <w:pPr>
        <w:spacing w:after="120"/>
      </w:pPr>
      <w:r>
        <w:rPr>
          <w:b w:val="false"/>
          <w:bCs w:val="false"/>
        </w:rPr>
        <w:t xml:space="preserve">下列十二条采购事项使用自动编号，第八条之后插入过一段说明文字，其后四条错误地从 1 重新计数。</w:t>
      </w:r>
    </w:p>
    <w:p>
      <w:pPr>
        <w:pStyle w:val="ListParagraph"/>
        <w:numPr>
          <w:ilvl w:val="0"/>
          <w:numId w:val="2"/>
        </w:numPr>
        <w:spacing w:after="120"/>
      </w:pPr>
      <w:r>
        <w:rPr>
          <w:b w:val="false"/>
          <w:bCs w:val="false"/>
        </w:rPr>
        <w:t xml:space="preserve">更换三号车间老化的空气压缩机</w:t>
      </w:r>
    </w:p>
    <w:p>
      <w:pPr>
        <w:pStyle w:val="ListParagraph"/>
        <w:numPr>
          <w:ilvl w:val="0"/>
          <w:numId w:val="2"/>
        </w:numPr>
        <w:spacing w:after="120"/>
      </w:pPr>
      <w:r>
        <w:rPr>
          <w:b w:val="false"/>
          <w:bCs w:val="false"/>
        </w:rPr>
        <w:t xml:space="preserve">采购质检室用游标卡尺二十把</w:t>
      </w:r>
    </w:p>
    <w:p>
      <w:pPr>
        <w:pStyle w:val="ListParagraph"/>
        <w:numPr>
          <w:ilvl w:val="0"/>
          <w:numId w:val="2"/>
        </w:numPr>
        <w:spacing w:after="120"/>
      </w:pPr>
      <w:r>
        <w:rPr>
          <w:b w:val="false"/>
          <w:bCs w:val="false"/>
        </w:rPr>
        <w:t xml:space="preserve">补充仓库周转托盘一百个</w:t>
      </w:r>
    </w:p>
    <w:p>
      <w:pPr>
        <w:pStyle w:val="ListParagraph"/>
        <w:numPr>
          <w:ilvl w:val="0"/>
          <w:numId w:val="2"/>
        </w:numPr>
        <w:spacing w:after="120"/>
      </w:pPr>
      <w:r>
        <w:rPr>
          <w:b w:val="false"/>
          <w:bCs w:val="false"/>
        </w:rPr>
        <w:t xml:space="preserve">更新前台访客登记终端一台</w:t>
      </w:r>
    </w:p>
    <w:p>
      <w:pPr>
        <w:pStyle w:val="ListParagraph"/>
        <w:numPr>
          <w:ilvl w:val="0"/>
          <w:numId w:val="2"/>
        </w:numPr>
        <w:spacing w:after="120"/>
      </w:pPr>
      <w:r>
        <w:rPr>
          <w:b w:val="false"/>
          <w:bCs w:val="false"/>
        </w:rPr>
        <w:t xml:space="preserve">采购会议室无线投屏器两套</w:t>
      </w:r>
    </w:p>
    <w:p>
      <w:pPr>
        <w:pStyle w:val="ListParagraph"/>
        <w:numPr>
          <w:ilvl w:val="0"/>
          <w:numId w:val="2"/>
        </w:numPr>
        <w:spacing w:after="120"/>
      </w:pPr>
      <w:r>
        <w:rPr>
          <w:b w:val="false"/>
          <w:bCs w:val="false"/>
        </w:rPr>
        <w:t xml:space="preserve">更换食堂后厨排风机组</w:t>
      </w:r>
    </w:p>
    <w:p>
      <w:pPr>
        <w:pStyle w:val="ListParagraph"/>
        <w:numPr>
          <w:ilvl w:val="0"/>
          <w:numId w:val="2"/>
        </w:numPr>
        <w:spacing w:after="120"/>
      </w:pPr>
      <w:r>
        <w:rPr>
          <w:b w:val="false"/>
          <w:bCs w:val="false"/>
        </w:rPr>
        <w:t xml:space="preserve">补充办公区激光打印机硒鼓三十支</w:t>
      </w:r>
    </w:p>
    <w:p>
      <w:pPr>
        <w:pStyle w:val="ListParagraph"/>
        <w:numPr>
          <w:ilvl w:val="0"/>
          <w:numId w:val="2"/>
        </w:numPr>
        <w:spacing w:after="120"/>
      </w:pPr>
      <w:r>
        <w:rPr>
          <w:b w:val="false"/>
          <w:bCs w:val="false"/>
        </w:rPr>
        <w:t xml:space="preserve">采购新员工工位电脑十五台</w:t>
      </w:r>
    </w:p>
    <w:p>
      <w:pPr>
        <w:spacing w:after="120"/>
      </w:pPr>
      <w:r>
        <w:rPr>
          <w:b w:val="false"/>
          <w:bCs w:val="false"/>
        </w:rPr>
        <w:t xml:space="preserve">以上八项为一季度已批准延续项目，下列各项为二季度新增申请，预算科目与上列不同，请分开审核。</w:t>
      </w:r>
    </w:p>
    <w:p>
      <w:pPr>
        <w:pStyle w:val="ListParagraph"/>
        <w:numPr>
          <w:ilvl w:val="0"/>
          <w:numId w:val="3"/>
        </w:numPr>
        <w:spacing w:after="120"/>
      </w:pPr>
      <w:r>
        <w:rPr>
          <w:b w:val="false"/>
          <w:bCs w:val="false"/>
        </w:rPr>
        <w:t xml:space="preserve">采购实验室恒温恒湿机一台</w:t>
      </w:r>
    </w:p>
    <w:p>
      <w:pPr>
        <w:pStyle w:val="ListParagraph"/>
        <w:numPr>
          <w:ilvl w:val="0"/>
          <w:numId w:val="3"/>
        </w:numPr>
        <w:spacing w:after="120"/>
      </w:pPr>
      <w:r>
        <w:rPr>
          <w:b w:val="false"/>
          <w:bCs w:val="false"/>
        </w:rPr>
        <w:t xml:space="preserve">更换园区监控硬盘录像机</w:t>
      </w:r>
    </w:p>
    <w:p>
      <w:pPr>
        <w:pStyle w:val="ListParagraph"/>
        <w:numPr>
          <w:ilvl w:val="0"/>
          <w:numId w:val="3"/>
        </w:numPr>
        <w:spacing w:after="120"/>
      </w:pPr>
      <w:r>
        <w:rPr>
          <w:b w:val="false"/>
          <w:bCs w:val="false"/>
        </w:rPr>
        <w:t xml:space="preserve">采购档案室防磁柜两组</w:t>
      </w:r>
    </w:p>
    <w:p>
      <w:pPr>
        <w:pStyle w:val="ListParagraph"/>
        <w:numPr>
          <w:ilvl w:val="0"/>
          <w:numId w:val="3"/>
        </w:numPr>
        <w:spacing w:after="120"/>
      </w:pPr>
      <w:r>
        <w:rPr>
          <w:b w:val="false"/>
          <w:bCs w:val="false"/>
        </w:rPr>
        <w:t xml:space="preserve">补充车队行车记录仪八台</w:t>
      </w:r>
    </w:p>
    <w:p>
      <w:pPr>
        <w:pStyle w:val="Heading2"/>
        <w:spacing w:after="160" w:before="360"/>
      </w:pPr>
      <w:r>
        <w:t xml:space="preserve">第二部分 管理制度节选（三级编号为手动输入文字）</w:t>
      </w:r>
    </w:p>
    <w:p>
      <w:pPr>
        <w:spacing w:after="120"/>
      </w:pPr>
      <w:r>
        <w:rPr>
          <w:b w:val="false"/>
          <w:bCs w:val="false"/>
        </w:rPr>
        <w:t xml:space="preserve">下列标题中的编号全部为手动敲入的普通文字，未使用自动编号，也未套用标题样式。</w:t>
      </w:r>
    </w:p>
    <w:p>
      <w:pPr>
        <w:spacing w:after="120"/>
      </w:pPr>
      <w:r>
        <w:rPr>
          <w:b/>
          <w:bCs/>
        </w:rPr>
        <w:t xml:space="preserve">1. 总则</w:t>
      </w:r>
    </w:p>
    <w:p>
      <w:pPr>
        <w:spacing w:after="120"/>
      </w:pPr>
      <w:r>
        <w:rPr>
          <w:b w:val="false"/>
          <w:bCs w:val="false"/>
        </w:rPr>
        <w:t xml:space="preserve">为规范公司物资采购与费用报销行为，依据公司章程制定本制度。</w:t>
      </w:r>
    </w:p>
    <w:p>
      <w:pPr>
        <w:spacing w:after="120"/>
      </w:pPr>
      <w:r>
        <w:rPr>
          <w:b/>
          <w:bCs/>
        </w:rPr>
        <w:t xml:space="preserve">1.1 适用范围</w:t>
      </w:r>
    </w:p>
    <w:p>
      <w:pPr>
        <w:spacing w:after="120"/>
      </w:pPr>
      <w:r>
        <w:rPr>
          <w:b w:val="false"/>
          <w:bCs w:val="false"/>
        </w:rPr>
        <w:t xml:space="preserve">本制度适用于公司全体部门及控股子公司。</w:t>
      </w:r>
    </w:p>
    <w:p>
      <w:pPr>
        <w:spacing w:after="120"/>
      </w:pPr>
      <w:r>
        <w:rPr>
          <w:b/>
          <w:bCs/>
        </w:rPr>
        <w:t xml:space="preserve">1.1.1 例外情形</w:t>
      </w:r>
    </w:p>
    <w:p>
      <w:pPr>
        <w:spacing w:after="120"/>
      </w:pPr>
      <w:r>
        <w:rPr>
          <w:b w:val="false"/>
          <w:bCs w:val="false"/>
        </w:rPr>
        <w:t xml:space="preserve">涉外采购项目按专项合同管理办法执行，不适用本制度。</w:t>
      </w:r>
    </w:p>
    <w:p>
      <w:pPr>
        <w:spacing w:after="120"/>
      </w:pPr>
      <w:r>
        <w:rPr>
          <w:b/>
          <w:bCs/>
        </w:rPr>
        <w:t xml:space="preserve">2. 采购管理</w:t>
      </w:r>
    </w:p>
    <w:p>
      <w:pPr>
        <w:spacing w:after="120"/>
      </w:pPr>
      <w:r>
        <w:rPr>
          <w:b w:val="false"/>
          <w:bCs w:val="false"/>
        </w:rPr>
        <w:t xml:space="preserve">采购活动遵循预算先行、比价采购、分级审批的原则。</w:t>
      </w:r>
    </w:p>
    <w:p>
      <w:pPr>
        <w:spacing w:after="120"/>
      </w:pPr>
      <w:r>
        <w:rPr>
          <w:b/>
          <w:bCs/>
        </w:rPr>
        <w:t xml:space="preserve">2.1 采购审批流程</w:t>
      </w:r>
    </w:p>
    <w:p>
      <w:pPr>
        <w:spacing w:after="120"/>
      </w:pPr>
      <w:r>
        <w:rPr>
          <w:b w:val="false"/>
          <w:bCs w:val="false"/>
        </w:rPr>
        <w:t xml:space="preserve">单笔金额五千元以下由部门负责人审批，五千元以上报分管副总审批。</w:t>
      </w:r>
    </w:p>
    <w:p>
      <w:pPr>
        <w:spacing w:after="120"/>
      </w:pPr>
      <w:r>
        <w:rPr>
          <w:b/>
          <w:bCs/>
        </w:rPr>
        <w:t xml:space="preserve">2.1.1 紧急采购</w:t>
      </w:r>
    </w:p>
    <w:p>
      <w:pPr>
        <w:spacing w:after="120"/>
      </w:pPr>
      <w:r>
        <w:rPr>
          <w:b w:val="false"/>
          <w:bCs w:val="false"/>
        </w:rPr>
        <w:t xml:space="preserve">生产急件可先采购后补单，须在三个工作日内补齐审批手续。</w:t>
      </w:r>
    </w:p>
    <w:p>
      <w:pPr>
        <w:spacing w:after="120"/>
      </w:pPr>
      <w:r>
        <w:rPr>
          <w:b/>
          <w:bCs/>
        </w:rPr>
        <w:t xml:space="preserve">2.2 供应商管理</w:t>
      </w:r>
    </w:p>
    <w:p>
      <w:pPr>
        <w:spacing w:after="120"/>
      </w:pPr>
      <w:r>
        <w:rPr>
          <w:b w:val="false"/>
          <w:bCs w:val="false"/>
        </w:rPr>
        <w:t xml:space="preserve">合格供应商名录每年评审一次，新增供应商须通过资质审查。</w:t>
      </w:r>
    </w:p>
    <w:p>
      <w:pPr>
        <w:spacing w:after="120"/>
      </w:pPr>
      <w:r>
        <w:rPr>
          <w:b/>
          <w:bCs/>
        </w:rPr>
        <w:t xml:space="preserve">3. 报销管理</w:t>
      </w:r>
    </w:p>
    <w:p>
      <w:pPr>
        <w:spacing w:after="120"/>
      </w:pPr>
      <w:r>
        <w:rPr>
          <w:b w:val="false"/>
          <w:bCs w:val="false"/>
        </w:rPr>
        <w:t xml:space="preserve">报销单据须在费用发生后三十日内提交，逾期须附情况说明。</w:t>
      </w:r>
    </w:p>
    <w:p>
      <w:pPr>
        <w:pStyle w:val="Heading2"/>
        <w:spacing w:after="160" w:before="360"/>
      </w:pPr>
      <w:r>
        <w:t xml:space="preserve">第三部分 八列采购明细表（总宽超出右页边界）</w:t>
      </w:r>
    </w:p>
    <w:p>
      <w:pPr>
        <w:spacing w:after="120"/>
      </w:pPr>
      <w:r>
        <w:rPr>
          <w:b w:val="false"/>
          <w:bCs w:val="false"/>
        </w:rPr>
        <w:t xml:space="preserve">下表列宽保持粘贴来源的尺寸，总宽大于正文区宽度，最右两列超出右侧页边距。</w:t>
      </w:r>
    </w:p>
    <w:tbl>
      <w:tblPr>
        <w:tblW w:type="dxa" w:w="1248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gridCol w:w="100"/>
        <w:gridCol w:w="100"/>
        <w:gridCol w:w="100"/>
        <w:gridCol w:w="100"/>
      </w:tblGrid>
      <w:tr>
        <w:tc>
          <w:tcPr>
            <w:tcW w:type="dxa" w:w="700"/>
          </w:tcPr>
          <w:p>
            <w:r>
              <w:t xml:space="preserve">序号</w:t>
            </w:r>
          </w:p>
        </w:tc>
        <w:tc>
          <w:tcPr>
            <w:tcW w:type="dxa" w:w="1500"/>
          </w:tcPr>
          <w:p>
            <w:r>
              <w:t xml:space="preserve">物料名称</w:t>
            </w:r>
          </w:p>
        </w:tc>
        <w:tc>
          <w:tcPr>
            <w:tcW w:type="dxa" w:w="2400"/>
          </w:tcPr>
          <w:p>
            <w:r>
              <w:t xml:space="preserve">物料编号</w:t>
            </w:r>
          </w:p>
        </w:tc>
        <w:tc>
          <w:tcPr>
            <w:tcW w:type="dxa" w:w="800"/>
          </w:tcPr>
          <w:p>
            <w:r>
              <w:t xml:space="preserve">数量</w:t>
            </w:r>
          </w:p>
        </w:tc>
        <w:tc>
          <w:tcPr>
            <w:tcW w:type="dxa" w:w="1200"/>
          </w:tcPr>
          <w:p>
            <w:r>
              <w:t xml:space="preserve">单价（元）</w:t>
            </w:r>
          </w:p>
        </w:tc>
        <w:tc>
          <w:tcPr>
            <w:tcW w:type="dxa" w:w="1300"/>
          </w:tcPr>
          <w:p>
            <w:r>
              <w:t xml:space="preserve">金额（元）</w:t>
            </w:r>
          </w:p>
        </w:tc>
        <w:tc>
          <w:tcPr>
            <w:tcW w:type="dxa" w:w="3000"/>
          </w:tcPr>
          <w:p>
            <w:r>
              <w:t xml:space="preserve">用途说明</w:t>
            </w:r>
          </w:p>
        </w:tc>
        <w:tc>
          <w:tcPr>
            <w:tcW w:type="dxa" w:w="1580"/>
          </w:tcPr>
          <w:p>
            <w:r>
              <w:t xml:space="preserve">到货日期</w:t>
            </w:r>
          </w:p>
        </w:tc>
      </w:tr>
      <w:tr>
        <w:tc>
          <w:tcPr>
            <w:tcW w:type="dxa" w:w="700"/>
          </w:tcPr>
          <w:p>
            <w:r>
              <w:t xml:space="preserve">1</w:t>
            </w:r>
          </w:p>
        </w:tc>
        <w:tc>
          <w:tcPr>
            <w:tcW w:type="dxa" w:w="1500"/>
          </w:tcPr>
          <w:p>
            <w:r>
              <w:t xml:space="preserve">铝合金型材</w:t>
            </w:r>
          </w:p>
        </w:tc>
        <w:tc>
          <w:tcPr>
            <w:tcW w:type="dxa" w:w="2400"/>
          </w:tcPr>
          <w:p>
            <w:r>
              <w:t xml:space="preserve">SPX-20240311-0087-AL</w:t>
            </w:r>
          </w:p>
        </w:tc>
        <w:tc>
          <w:tcPr>
            <w:tcW w:type="dxa" w:w="800"/>
          </w:tcPr>
          <w:p>
            <w:r>
              <w:t xml:space="preserve">120</w:t>
            </w:r>
          </w:p>
        </w:tc>
        <w:tc>
          <w:tcPr>
            <w:tcW w:type="dxa" w:w="1200"/>
          </w:tcPr>
          <w:p>
            <w:r>
              <w:t xml:space="preserve">86.00</w:t>
            </w:r>
          </w:p>
        </w:tc>
        <w:tc>
          <w:tcPr>
            <w:tcW w:type="dxa" w:w="1300"/>
          </w:tcPr>
          <w:p>
            <w:r>
              <w:t xml:space="preserve">10320.00</w:t>
            </w:r>
          </w:p>
        </w:tc>
        <w:tc>
          <w:tcPr>
            <w:tcW w:type="dxa" w:w="3000"/>
          </w:tcPr>
          <w:p>
            <w:r>
              <w:t xml:space="preserve">三号车间输送线护栏改造备料</w:t>
            </w:r>
          </w:p>
        </w:tc>
        <w:tc>
          <w:tcPr>
            <w:tcW w:type="dxa" w:w="1580"/>
          </w:tcPr>
          <w:p>
            <w:r>
              <w:t xml:space="preserve">2026-08-20</w:t>
            </w:r>
          </w:p>
        </w:tc>
      </w:tr>
      <w:tr>
        <w:tc>
          <w:tcPr>
            <w:tcW w:type="dxa" w:w="700"/>
          </w:tcPr>
          <w:p>
            <w:r>
              <w:t xml:space="preserve">2</w:t>
            </w:r>
          </w:p>
        </w:tc>
        <w:tc>
          <w:tcPr>
            <w:tcW w:type="dxa" w:w="1500"/>
          </w:tcPr>
          <w:p>
            <w:r>
              <w:t xml:space="preserve">伺服电机</w:t>
            </w:r>
          </w:p>
        </w:tc>
        <w:tc>
          <w:tcPr>
            <w:tcW w:type="dxa" w:w="2400"/>
          </w:tcPr>
          <w:p>
            <w:r>
              <w:t xml:space="preserve">SVM-20240402-0153-BX</w:t>
            </w:r>
          </w:p>
        </w:tc>
        <w:tc>
          <w:tcPr>
            <w:tcW w:type="dxa" w:w="800"/>
          </w:tcPr>
          <w:p>
            <w:r>
              <w:t xml:space="preserve">6</w:t>
            </w:r>
          </w:p>
        </w:tc>
        <w:tc>
          <w:tcPr>
            <w:tcW w:type="dxa" w:w="1200"/>
          </w:tcPr>
          <w:p>
            <w:r>
              <w:t xml:space="preserve">2350.00</w:t>
            </w:r>
          </w:p>
        </w:tc>
        <w:tc>
          <w:tcPr>
            <w:tcW w:type="dxa" w:w="1300"/>
          </w:tcPr>
          <w:p>
            <w:r>
              <w:t xml:space="preserve">14100.00</w:t>
            </w:r>
          </w:p>
        </w:tc>
        <w:tc>
          <w:tcPr>
            <w:tcW w:type="dxa" w:w="3000"/>
          </w:tcPr>
          <w:p>
            <w:r>
              <w:t xml:space="preserve">包装线升级项目驱动部件更换</w:t>
            </w:r>
          </w:p>
        </w:tc>
        <w:tc>
          <w:tcPr>
            <w:tcW w:type="dxa" w:w="1580"/>
          </w:tcPr>
          <w:p>
            <w:r>
              <w:t xml:space="preserve">2026-08-25</w:t>
            </w:r>
          </w:p>
        </w:tc>
      </w:tr>
      <w:tr>
        <w:tc>
          <w:tcPr>
            <w:tcW w:type="dxa" w:w="700"/>
          </w:tcPr>
          <w:p>
            <w:r>
              <w:t xml:space="preserve">3</w:t>
            </w:r>
          </w:p>
        </w:tc>
        <w:tc>
          <w:tcPr>
            <w:tcW w:type="dxa" w:w="1500"/>
          </w:tcPr>
          <w:p>
            <w:r>
              <w:t xml:space="preserve">工业润滑脂</w:t>
            </w:r>
          </w:p>
        </w:tc>
        <w:tc>
          <w:tcPr>
            <w:tcW w:type="dxa" w:w="2400"/>
          </w:tcPr>
          <w:p>
            <w:r>
              <w:t xml:space="preserve">LUB-20240118-0009-CN</w:t>
            </w:r>
          </w:p>
        </w:tc>
        <w:tc>
          <w:tcPr>
            <w:tcW w:type="dxa" w:w="800"/>
          </w:tcPr>
          <w:p>
            <w:r>
              <w:t xml:space="preserve">40</w:t>
            </w:r>
          </w:p>
        </w:tc>
        <w:tc>
          <w:tcPr>
            <w:tcW w:type="dxa" w:w="1200"/>
          </w:tcPr>
          <w:p>
            <w:r>
              <w:t xml:space="preserve">65.00</w:t>
            </w:r>
          </w:p>
        </w:tc>
        <w:tc>
          <w:tcPr>
            <w:tcW w:type="dxa" w:w="1300"/>
          </w:tcPr>
          <w:p>
            <w:r>
              <w:t xml:space="preserve">2600.00</w:t>
            </w:r>
          </w:p>
        </w:tc>
        <w:tc>
          <w:tcPr>
            <w:tcW w:type="dxa" w:w="3000"/>
          </w:tcPr>
          <w:p>
            <w:r>
              <w:t xml:space="preserve">季度设备保养常备耗材补充</w:t>
            </w:r>
          </w:p>
        </w:tc>
        <w:tc>
          <w:tcPr>
            <w:tcW w:type="dxa" w:w="1580"/>
          </w:tcPr>
          <w:p>
            <w:r>
              <w:t xml:space="preserve">2026-08-18</w:t>
            </w:r>
          </w:p>
        </w:tc>
      </w:tr>
      <w:tr>
        <w:tc>
          <w:tcPr>
            <w:tcW w:type="dxa" w:w="700"/>
          </w:tcPr>
          <w:p>
            <w:r>
              <w:t xml:space="preserve">4</w:t>
            </w:r>
          </w:p>
        </w:tc>
        <w:tc>
          <w:tcPr>
            <w:tcW w:type="dxa" w:w="1500"/>
          </w:tcPr>
          <w:p>
            <w:r>
              <w:t xml:space="preserve">防静电地垫</w:t>
            </w:r>
          </w:p>
        </w:tc>
        <w:tc>
          <w:tcPr>
            <w:tcW w:type="dxa" w:w="2400"/>
          </w:tcPr>
          <w:p>
            <w:r>
              <w:t xml:space="preserve">ESD-20240506-0221-DM</w:t>
            </w:r>
          </w:p>
        </w:tc>
        <w:tc>
          <w:tcPr>
            <w:tcW w:type="dxa" w:w="800"/>
          </w:tcPr>
          <w:p>
            <w:r>
              <w:t xml:space="preserve">30</w:t>
            </w:r>
          </w:p>
        </w:tc>
        <w:tc>
          <w:tcPr>
            <w:tcW w:type="dxa" w:w="1200"/>
          </w:tcPr>
          <w:p>
            <w:r>
              <w:t xml:space="preserve">180.00</w:t>
            </w:r>
          </w:p>
        </w:tc>
        <w:tc>
          <w:tcPr>
            <w:tcW w:type="dxa" w:w="1300"/>
          </w:tcPr>
          <w:p>
            <w:r>
              <w:t xml:space="preserve">5400.00</w:t>
            </w:r>
          </w:p>
        </w:tc>
        <w:tc>
          <w:tcPr>
            <w:tcW w:type="dxa" w:w="3000"/>
          </w:tcPr>
          <w:p>
            <w:r>
              <w:t xml:space="preserve">电子装配区工位防静电改造</w:t>
            </w:r>
          </w:p>
        </w:tc>
        <w:tc>
          <w:tcPr>
            <w:tcW w:type="dxa" w:w="1580"/>
          </w:tcPr>
          <w:p>
            <w:r>
              <w:t xml:space="preserve">2026-09-01</w:t>
            </w:r>
          </w:p>
        </w:tc>
      </w:tr>
    </w:tbl>
    <w:p>
      <w:pPr>
        <w:spacing w:after="120"/>
      </w:pPr>
      <w:r>
        <w:rPr>
          <w:b w:val="false"/>
          <w:bCs w:val="false"/>
        </w:rPr>
        <w:t xml:space="preserve"/>
      </w:r>
    </w:p>
    <w:p>
      <w:pPr>
        <w:pStyle w:val="Heading2"/>
        <w:spacing w:after="160" w:before="360"/>
      </w:pPr>
      <w:r>
        <w:t xml:space="preserve">第四部分 会议决议表（有一行正好跨页截断）</w:t>
      </w:r>
    </w:p>
    <w:p>
      <w:pPr>
        <w:spacing w:after="120"/>
      </w:pPr>
      <w:r>
        <w:rPr>
          <w:b w:val="false"/>
          <w:bCs w:val="false"/>
        </w:rPr>
        <w:t xml:space="preserve">下表第五行的决议内容较长，落在页面交界处时会被拦腰截断，行属性中的允许跨页断行保持默认勾选状态。</w:t>
      </w:r>
    </w:p>
    <w:p>
      <w:pPr>
        <w:spacing w:after="120"/>
      </w:pPr>
      <w:r>
        <w:rPr>
          <w:b w:val="false"/>
          <w:bCs w:val="false"/>
        </w:rPr>
        <w:t xml:space="preserve">会议背景补充说明段落，用于将下方表格推至页面下部，使长内容行恰好落在两页交界处，请勿删除本段。</w:t>
      </w:r>
    </w:p>
    <w:p>
      <w:pPr>
        <w:spacing w:after="120"/>
      </w:pPr>
      <w:r>
        <w:rPr>
          <w:b w:val="false"/>
          <w:bCs w:val="false"/>
        </w:rPr>
        <w:t xml:space="preserve">会议背景补充说明段落，用于将下方表格推至页面下部，使长内容行恰好落在两页交界处，请勿删除本段。</w:t>
      </w:r>
    </w:p>
    <w:p>
      <w:pPr>
        <w:spacing w:after="120"/>
      </w:pPr>
      <w:r>
        <w:rPr>
          <w:b w:val="false"/>
          <w:bCs w:val="false"/>
        </w:rPr>
        <w:t xml:space="preserve">会议背景补充说明段落，用于将下方表格推至页面下部，使长内容行恰好落在两页交界处，请勿删除本段。</w:t>
      </w:r>
    </w:p>
    <w:p>
      <w:pPr>
        <w:spacing w:after="120"/>
      </w:pPr>
      <w:r>
        <w:rPr>
          <w:b w:val="false"/>
          <w:bCs w:val="false"/>
        </w:rPr>
        <w:t xml:space="preserve">会议背景补充说明段落，用于将下方表格推至页面下部，使长内容行恰好落在两页交界处，请勿删除本段。</w:t>
      </w:r>
    </w:p>
    <w:p>
      <w:pPr>
        <w:spacing w:after="120"/>
      </w:pPr>
      <w:r>
        <w:rPr>
          <w:b w:val="false"/>
          <w:bCs w:val="false"/>
        </w:rPr>
        <w:t xml:space="preserve">会议背景补充说明段落，用于将下方表格推至页面下部，使长内容行恰好落在两页交界处，请勿删除本段。</w:t>
      </w:r>
    </w:p>
    <w:p>
      <w:pPr>
        <w:spacing w:after="120"/>
      </w:pPr>
      <w:r>
        <w:rPr>
          <w:b w:val="false"/>
          <w:bCs w:val="false"/>
        </w:rPr>
        <w:t xml:space="preserve">会议背景补充说明段落，用于将下方表格推至页面下部，使长内容行恰好落在两页交界处，请勿删除本段。</w:t>
      </w:r>
    </w:p>
    <w:tbl>
      <w:tblPr>
        <w:tblW w:type="dxa" w:w="83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tblGrid>
      <w:tr>
        <w:tc>
          <w:tcPr>
            <w:tcW w:type="dxa" w:w="900"/>
          </w:tcPr>
          <w:p>
            <w:r>
              <w:t xml:space="preserve">序号</w:t>
            </w:r>
          </w:p>
        </w:tc>
        <w:tc>
          <w:tcPr>
            <w:tcW w:type="dxa" w:w="2400"/>
          </w:tcPr>
          <w:p>
            <w:r>
              <w:t xml:space="preserve">议题</w:t>
            </w:r>
          </w:p>
        </w:tc>
        <w:tc>
          <w:tcPr>
            <w:tcW w:type="dxa" w:w="5000"/>
          </w:tcPr>
          <w:p>
            <w:r>
              <w:t xml:space="preserve">决议内容</w:t>
            </w:r>
          </w:p>
        </w:tc>
      </w:tr>
      <w:tr>
        <w:tc>
          <w:tcPr>
            <w:tcW w:type="dxa" w:w="900"/>
          </w:tcPr>
          <w:p>
            <w:r>
              <w:t xml:space="preserve">1</w:t>
            </w:r>
          </w:p>
        </w:tc>
        <w:tc>
          <w:tcPr>
            <w:tcW w:type="dxa" w:w="2400"/>
          </w:tcPr>
          <w:p>
            <w:r>
              <w:t xml:space="preserve">生产计划调整</w:t>
            </w:r>
          </w:p>
        </w:tc>
        <w:tc>
          <w:tcPr>
            <w:tcW w:type="dxa" w:w="5000"/>
          </w:tcPr>
          <w:p>
            <w:r>
              <w:t xml:space="preserve">同意八月起二号线转产新品，原订单移交三号线消化。</w:t>
            </w:r>
          </w:p>
        </w:tc>
      </w:tr>
      <w:tr>
        <w:tc>
          <w:tcPr>
            <w:tcW w:type="dxa" w:w="900"/>
          </w:tcPr>
          <w:p>
            <w:r>
              <w:t xml:space="preserve">2</w:t>
            </w:r>
          </w:p>
        </w:tc>
        <w:tc>
          <w:tcPr>
            <w:tcW w:type="dxa" w:w="2400"/>
          </w:tcPr>
          <w:p>
            <w:r>
              <w:t xml:space="preserve">设备采购授权</w:t>
            </w:r>
          </w:p>
        </w:tc>
        <w:tc>
          <w:tcPr>
            <w:tcW w:type="dxa" w:w="5000"/>
          </w:tcPr>
          <w:p>
            <w:r>
              <w:t xml:space="preserve">授权设备部启动包装线升级采购，预算上限六十万元。</w:t>
            </w:r>
          </w:p>
        </w:tc>
      </w:tr>
      <w:tr>
        <w:tc>
          <w:tcPr>
            <w:tcW w:type="dxa" w:w="900"/>
          </w:tcPr>
          <w:p>
            <w:r>
              <w:t xml:space="preserve">3</w:t>
            </w:r>
          </w:p>
        </w:tc>
        <w:tc>
          <w:tcPr>
            <w:tcW w:type="dxa" w:w="2400"/>
          </w:tcPr>
          <w:p>
            <w:r>
              <w:t xml:space="preserve">人员编制</w:t>
            </w:r>
          </w:p>
        </w:tc>
        <w:tc>
          <w:tcPr>
            <w:tcW w:type="dxa" w:w="5000"/>
          </w:tcPr>
          <w:p>
            <w:r>
              <w:t xml:space="preserve">同意质检室增编两人，面向内部转岗优先。</w:t>
            </w:r>
          </w:p>
        </w:tc>
      </w:tr>
      <w:tr>
        <w:tc>
          <w:tcPr>
            <w:tcW w:type="dxa" w:w="900"/>
          </w:tcPr>
          <w:p>
            <w:r>
              <w:t xml:space="preserve">4</w:t>
            </w:r>
          </w:p>
        </w:tc>
        <w:tc>
          <w:tcPr>
            <w:tcW w:type="dxa" w:w="2400"/>
          </w:tcPr>
          <w:p>
            <w:r>
              <w:t xml:space="preserve">供应商年度评审</w:t>
            </w:r>
          </w:p>
        </w:tc>
        <w:tc>
          <w:tcPr>
            <w:tcW w:type="dxa" w:w="5000"/>
          </w:tcPr>
          <w:p>
            <w:r>
              <w:t xml:space="preserve">同意启动供应商年度评审专项工作，由采购部牵头、质量部与财务部参与，评审范围覆盖全部一级供应商与上年度交易额超过五十万元的二级供应商；评审内容包括交付准时率、来料合格率、价格竞争力与售后响应速度四项指标，各项权重由专项小组在开工会上确定并报分管副总备案；对评审结果为不合格的供应商，暂停新订单并限期三个月整改，整改复评仍不合格的移出合格供应商名录；专项工作须在十月底前完成，评审报告提交总经理办公会审议。</w:t>
            </w:r>
          </w:p>
        </w:tc>
      </w:tr>
      <w:tr>
        <w:tc>
          <w:tcPr>
            <w:tcW w:type="dxa" w:w="900"/>
          </w:tcPr>
          <w:p>
            <w:r>
              <w:t xml:space="preserve">5</w:t>
            </w:r>
          </w:p>
        </w:tc>
        <w:tc>
          <w:tcPr>
            <w:tcW w:type="dxa" w:w="2400"/>
          </w:tcPr>
          <w:p>
            <w:r>
              <w:t xml:space="preserve">下次会议</w:t>
            </w:r>
          </w:p>
        </w:tc>
        <w:tc>
          <w:tcPr>
            <w:tcW w:type="dxa" w:w="5000"/>
          </w:tcPr>
          <w:p>
            <w:r>
              <w:t xml:space="preserve">定于九月第一周周三下午召开月度经营分析会。</w:t>
            </w:r>
          </w:p>
        </w:tc>
      </w:tr>
    </w:tbl>
    <w:p>
      <w:pPr>
        <w:spacing w:after="120"/>
      </w:pPr>
      <w:r>
        <w:rPr>
          <w:b w:val="false"/>
          <w:bCs w:val="false"/>
        </w:rPr>
        <w:t xml:space="preserve"/>
      </w:r>
    </w:p>
    <w:p>
      <w:pPr>
        <w:pStyle w:val="Heading2"/>
        <w:spacing w:after="160" w:before="360"/>
      </w:pPr>
      <w:r>
        <w:t xml:space="preserve">第五部分 产品发布通知（图片为嵌入型）</w:t>
      </w:r>
    </w:p>
    <w:p>
      <w:pPr>
        <w:spacing w:after="120"/>
      </w:pPr>
      <w:r>
        <w:rPr>
          <w:b w:val="false"/>
          <w:bCs w:val="false"/>
        </w:rPr>
        <w:t xml:space="preserve">公司定于九月上旬发布新一代桌面净化器，现将产品要点预先通报各部门，供市场物料准备参考。</w:t>
      </w:r>
    </w:p>
    <w:p>
      <w:pPr>
        <w:spacing w:after="120"/>
      </w:pPr>
      <w:r>
        <w:t xml:space="preserve">产品外观与接口布局见下图，</w:t>
      </w:r>
      <w:r>
        <w:drawing>
          <wp:inline distT="0" distB="0" distL="0" distR="0">
            <wp:extent cx="2857500" cy="1905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857500" cy="1905000"/>
                    </a:xfrm>
                    <a:prstGeom prst="rect">
                      <a:avLst/>
                    </a:prstGeom>
                  </pic:spPr>
                </pic:pic>
              </a:graphicData>
            </a:graphic>
          </wp:inline>
        </w:drawing>
      </w:r>
      <w:r>
        <w:t xml:space="preserve">图示为工程样机状态，量产版本的出风口格栅将改为金属材质，其余结构不变。</w:t>
      </w:r>
    </w:p>
    <w:p>
      <w:pPr>
        <w:spacing w:after="120"/>
      </w:pPr>
      <w:r>
        <w:rPr>
          <w:b w:val="false"/>
          <w:bCs w:val="false"/>
        </w:rPr>
        <w:t xml:space="preserve">各部门如需高清渲染图，请联系市场部索取源文件，不要截取本通知中的示意图另作他用。</w:t>
      </w:r>
    </w:p>
    <w:p>
      <w:pPr>
        <w:spacing w:after="120"/>
      </w:pPr>
      <w:r>
        <w:rPr>
          <w:b w:val="false"/>
          <w:bCs w:val="false"/>
        </w:rPr>
        <w:t xml:space="preserve">市场部</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640" w:hanging="360"/>
      </w:pPr>
    </w:lvl>
  </w:abstractNum>
  <w:abstractNum w:abstractNumId="3" w15:restartNumberingAfterBreak="0">
    <w:multiLevelType w:val="hybridMultilevel"/>
    <w:lvl w:ilvl="0" w15:tentative="1">
      <w:start w:val="1"/>
      <w:numFmt w:val="decimal"/>
      <w:lvlText w:val="%1."/>
      <w:lvlJc w:val="start"/>
      <w:pPr>
        <w:ind w:left="64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f7f97307bf75de0debf1040d79967d22695a7e84.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2026-08-03T06:54:25.040Z</dcterms:created>
  <dcterms:modified xsi:type="dcterms:W3CDTF">2026-08-03T06:54:25.041Z</dcterms:modified>
</cp:coreProperties>
</file>

<file path=docProps/custom.xml><?xml version="1.0" encoding="utf-8"?>
<Properties xmlns="http://schemas.openxmlformats.org/officeDocument/2006/custom-properties" xmlns:vt="http://schemas.openxmlformats.org/officeDocument/2006/docPropsVTypes"/>
</file>